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B142" w14:textId="657152E8" w:rsidR="00CC500B" w:rsidRPr="007869D5" w:rsidRDefault="000D4EED" w:rsidP="00BC1235">
      <w:pPr>
        <w:pStyle w:val="Heading1"/>
        <w:spacing w:line="360" w:lineRule="auto"/>
        <w:jc w:val="center"/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</w:pPr>
      <w:r w:rsidRPr="007869D5"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  <w:t>Subventions pour litiges</w:t>
      </w:r>
      <w:r w:rsidR="00A711EF" w:rsidRPr="007869D5"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  <w:t xml:space="preserve"> - </w:t>
      </w:r>
      <w:r w:rsidR="00534F8E" w:rsidRPr="007869D5"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  <w:t>Consid</w:t>
      </w:r>
      <w:r w:rsidR="0030355A"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  <w:t>é</w:t>
      </w:r>
      <w:r w:rsidR="00534F8E" w:rsidRPr="007869D5">
        <w:rPr>
          <w:rFonts w:ascii="Verdana" w:eastAsia="Times New Roman" w:hAnsi="Verdana" w:cs="Arial"/>
          <w:b/>
          <w:bCs/>
          <w:color w:val="auto"/>
          <w:sz w:val="40"/>
          <w:szCs w:val="40"/>
          <w:lang w:val="fr-CA" w:eastAsia="en-CA"/>
        </w:rPr>
        <w:t>rations</w:t>
      </w:r>
    </w:p>
    <w:p w14:paraId="05510CFB" w14:textId="0574303A" w:rsidR="00497835" w:rsidRPr="007869D5" w:rsidRDefault="00147DCC" w:rsidP="00BC1235">
      <w:pPr>
        <w:pStyle w:val="Heading2"/>
        <w:spacing w:line="360" w:lineRule="auto"/>
        <w:rPr>
          <w:rFonts w:ascii="Verdana" w:hAnsi="Verdana" w:cs="Arial"/>
          <w:sz w:val="32"/>
          <w:szCs w:val="32"/>
          <w:lang w:val="fr-CA"/>
        </w:rPr>
      </w:pPr>
      <w:r w:rsidRPr="007869D5">
        <w:rPr>
          <w:rFonts w:ascii="Verdana" w:hAnsi="Verdana" w:cs="Arial"/>
          <w:sz w:val="32"/>
          <w:szCs w:val="32"/>
          <w:lang w:val="fr-CA"/>
        </w:rPr>
        <w:t>Objecti</w:t>
      </w:r>
      <w:r w:rsidR="004171A5" w:rsidRPr="007869D5">
        <w:rPr>
          <w:rFonts w:ascii="Verdana" w:hAnsi="Verdana" w:cs="Arial"/>
          <w:sz w:val="32"/>
          <w:szCs w:val="32"/>
          <w:lang w:val="fr-CA"/>
        </w:rPr>
        <w:t>fs</w:t>
      </w:r>
      <w:r w:rsidRPr="007869D5">
        <w:rPr>
          <w:rFonts w:ascii="Verdana" w:hAnsi="Verdana" w:cs="Arial"/>
          <w:sz w:val="32"/>
          <w:szCs w:val="32"/>
          <w:lang w:val="fr-CA"/>
        </w:rPr>
        <w:t xml:space="preserve"> </w:t>
      </w:r>
    </w:p>
    <w:p w14:paraId="771500FE" w14:textId="51EBB988" w:rsidR="00A46BA5" w:rsidRPr="00A46BA5" w:rsidRDefault="00C2498D" w:rsidP="00627A5C">
      <w:pPr>
        <w:spacing w:line="360" w:lineRule="auto"/>
        <w:rPr>
          <w:rFonts w:ascii="Verdana" w:hAnsi="Verdana" w:cs="Arial"/>
          <w:sz w:val="24"/>
          <w:szCs w:val="24"/>
          <w:lang w:val="fr-CA"/>
        </w:rPr>
      </w:pPr>
      <w:r w:rsidRPr="00C2498D">
        <w:rPr>
          <w:rFonts w:ascii="Verdana" w:hAnsi="Verdana" w:cs="Arial"/>
          <w:sz w:val="24"/>
          <w:szCs w:val="24"/>
          <w:lang w:val="fr-CA"/>
        </w:rPr>
        <w:t>INCA s'</w:t>
      </w:r>
      <w:r w:rsidR="00BA637F">
        <w:rPr>
          <w:rFonts w:ascii="Verdana" w:hAnsi="Verdana" w:cs="Arial"/>
          <w:sz w:val="24"/>
          <w:szCs w:val="24"/>
          <w:lang w:val="fr-CA"/>
        </w:rPr>
        <w:t>engage</w:t>
      </w:r>
      <w:r w:rsidRPr="00C2498D">
        <w:rPr>
          <w:rFonts w:ascii="Verdana" w:hAnsi="Verdana" w:cs="Arial"/>
          <w:sz w:val="24"/>
          <w:szCs w:val="24"/>
          <w:lang w:val="fr-CA"/>
        </w:rPr>
        <w:t xml:space="preserve"> à éliminer les obstacles et à offrir un meilleur accès à la justice aux personnes aveugles, ayant une basse vision ou sourdes-aveugles partout au Canada. Conformément à cet engagement, INCA envisagera d'accorder une aide financière aux litiges qui répondent aux objectifs énoncés ci-dessous :</w:t>
      </w:r>
      <w:r w:rsidR="00BA637F">
        <w:rPr>
          <w:rFonts w:ascii="Verdana" w:hAnsi="Verdana" w:cs="Arial"/>
          <w:sz w:val="24"/>
          <w:szCs w:val="24"/>
          <w:lang w:val="fr-CA"/>
        </w:rPr>
        <w:t xml:space="preserve"> </w:t>
      </w:r>
    </w:p>
    <w:p w14:paraId="3577E414" w14:textId="1D1DCAC4" w:rsidR="00627A5C" w:rsidRPr="00027CEC" w:rsidRDefault="00027CEC" w:rsidP="00627A5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rStyle w:val="normaltextrun"/>
          <w:rFonts w:ascii="Verdana" w:hAnsi="Verdana"/>
          <w:lang w:val="fr-CA"/>
        </w:rPr>
      </w:pPr>
      <w:r w:rsidRPr="00027CEC">
        <w:rPr>
          <w:rStyle w:val="normaltextrun"/>
          <w:rFonts w:ascii="Verdana" w:eastAsiaTheme="majorEastAsia" w:hAnsi="Verdana"/>
          <w:color w:val="000000"/>
          <w:lang w:val="fr-CA"/>
        </w:rPr>
        <w:t>S’aligner sur le plan stratégique d’INC</w:t>
      </w:r>
      <w:r>
        <w:rPr>
          <w:rStyle w:val="normaltextrun"/>
          <w:rFonts w:ascii="Verdana" w:eastAsiaTheme="majorEastAsia" w:hAnsi="Verdana"/>
          <w:color w:val="000000"/>
          <w:lang w:val="fr-CA"/>
        </w:rPr>
        <w:t xml:space="preserve">A </w:t>
      </w:r>
      <w:hyperlink r:id="rId7" w:history="1">
        <w:r w:rsidRPr="00027CEC">
          <w:rPr>
            <w:rStyle w:val="Hyperlink"/>
            <w:rFonts w:ascii="Verdana" w:eastAsiaTheme="majorEastAsia" w:hAnsi="Verdana"/>
            <w:i/>
            <w:iCs/>
            <w:lang w:val="fr-CA"/>
          </w:rPr>
          <w:t>La</w:t>
        </w:r>
        <w:r>
          <w:rPr>
            <w:rStyle w:val="Hyperlink"/>
            <w:rFonts w:ascii="Verdana" w:eastAsiaTheme="majorEastAsia" w:hAnsi="Verdana"/>
            <w:i/>
            <w:iCs/>
            <w:lang w:val="fr-CA"/>
          </w:rPr>
          <w:t xml:space="preserve"> voie à suivre</w:t>
        </w:r>
      </w:hyperlink>
      <w:r w:rsidR="00627A5C" w:rsidRPr="00027CEC">
        <w:rPr>
          <w:rStyle w:val="normaltextrun"/>
          <w:rFonts w:ascii="Verdana" w:hAnsi="Verdana"/>
          <w:lang w:val="fr-CA"/>
        </w:rPr>
        <w:t>;</w:t>
      </w:r>
    </w:p>
    <w:p w14:paraId="520AB294" w14:textId="1E26A1BC" w:rsidR="00627A5C" w:rsidRPr="00A925B1" w:rsidRDefault="00F07B5C" w:rsidP="00627A5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rStyle w:val="normaltextrun"/>
          <w:rFonts w:ascii="Verdana" w:hAnsi="Verdana"/>
          <w:lang w:val="fr-CA"/>
        </w:rPr>
      </w:pPr>
      <w:r w:rsidRPr="00A925B1">
        <w:rPr>
          <w:rStyle w:val="normaltextrun"/>
          <w:rFonts w:ascii="Verdana" w:eastAsiaTheme="majorEastAsia" w:hAnsi="Verdana" w:cs="Arial"/>
          <w:color w:val="000000"/>
          <w:lang w:val="fr-CA"/>
        </w:rPr>
        <w:t>Avoir un</w:t>
      </w:r>
      <w:r w:rsidR="00197D14" w:rsidRPr="00A925B1">
        <w:rPr>
          <w:rStyle w:val="normaltextrun"/>
          <w:rFonts w:ascii="Verdana" w:eastAsiaTheme="majorEastAsia" w:hAnsi="Verdana" w:cs="Arial"/>
          <w:color w:val="000000"/>
          <w:lang w:val="fr-CA"/>
        </w:rPr>
        <w:t xml:space="preserve"> impact </w:t>
      </w:r>
      <w:r w:rsidR="008565C3" w:rsidRPr="00A925B1">
        <w:rPr>
          <w:rStyle w:val="normaltextrun"/>
          <w:rFonts w:ascii="Verdana" w:eastAsiaTheme="majorEastAsia" w:hAnsi="Verdana" w:cs="Arial"/>
          <w:color w:val="000000"/>
          <w:lang w:val="fr-CA"/>
        </w:rPr>
        <w:t>significatif sur les participants d’INCA et les autres personnes aveugles</w:t>
      </w:r>
      <w:r w:rsidR="00A925B1" w:rsidRPr="00A925B1">
        <w:rPr>
          <w:rStyle w:val="normaltextrun"/>
          <w:rFonts w:ascii="Verdana" w:eastAsiaTheme="majorEastAsia" w:hAnsi="Verdana" w:cs="Arial"/>
          <w:color w:val="000000"/>
          <w:lang w:val="fr-CA"/>
        </w:rPr>
        <w:t>, sour</w:t>
      </w:r>
      <w:r w:rsidR="00A925B1">
        <w:rPr>
          <w:rStyle w:val="normaltextrun"/>
          <w:rFonts w:ascii="Verdana" w:eastAsiaTheme="majorEastAsia" w:hAnsi="Verdana" w:cs="Arial"/>
          <w:color w:val="000000"/>
          <w:lang w:val="fr-CA"/>
        </w:rPr>
        <w:t>des-aveugles ou ayant une basse vision au Canada</w:t>
      </w:r>
      <w:r w:rsidR="00197D14" w:rsidRPr="00A925B1">
        <w:rPr>
          <w:rStyle w:val="normaltextrun"/>
          <w:rFonts w:ascii="Verdana" w:eastAsiaTheme="majorEastAsia" w:hAnsi="Verdana" w:cs="Arial"/>
          <w:color w:val="000000"/>
          <w:lang w:val="fr-CA"/>
        </w:rPr>
        <w:t xml:space="preserve"> </w:t>
      </w:r>
      <w:r w:rsidR="004C618E" w:rsidRPr="00A925B1">
        <w:rPr>
          <w:rFonts w:ascii="Verdana" w:hAnsi="Verdana"/>
          <w:lang w:val="fr-CA"/>
        </w:rPr>
        <w:t>(</w:t>
      </w:r>
      <w:r w:rsidR="00A925B1">
        <w:rPr>
          <w:rFonts w:ascii="Verdana" w:hAnsi="Verdana"/>
          <w:lang w:val="fr-CA"/>
        </w:rPr>
        <w:t>c.</w:t>
      </w:r>
      <w:r w:rsidR="005A2469">
        <w:rPr>
          <w:rFonts w:ascii="Verdana" w:hAnsi="Verdana"/>
          <w:lang w:val="fr-CA"/>
        </w:rPr>
        <w:t>-à-d.</w:t>
      </w:r>
      <w:r w:rsidR="00ED312F">
        <w:rPr>
          <w:rFonts w:ascii="Verdana" w:hAnsi="Verdana"/>
          <w:lang w:val="fr-CA"/>
        </w:rPr>
        <w:t>,</w:t>
      </w:r>
      <w:r w:rsidR="005A2469">
        <w:rPr>
          <w:rFonts w:ascii="Verdana" w:hAnsi="Verdana"/>
          <w:lang w:val="fr-CA"/>
        </w:rPr>
        <w:t xml:space="preserve"> l’</w:t>
      </w:r>
      <w:r w:rsidR="004C618E" w:rsidRPr="00A925B1">
        <w:rPr>
          <w:rFonts w:ascii="Verdana" w:hAnsi="Verdana"/>
          <w:lang w:val="fr-CA"/>
        </w:rPr>
        <w:t>in</w:t>
      </w:r>
      <w:r w:rsidR="005A2469">
        <w:rPr>
          <w:rFonts w:ascii="Verdana" w:hAnsi="Verdana"/>
          <w:lang w:val="fr-CA"/>
        </w:rPr>
        <w:t>iquité</w:t>
      </w:r>
      <w:r w:rsidR="004C618E" w:rsidRPr="00A925B1">
        <w:rPr>
          <w:rFonts w:ascii="Verdana" w:hAnsi="Verdana"/>
          <w:lang w:val="fr-CA"/>
        </w:rPr>
        <w:t xml:space="preserve"> o</w:t>
      </w:r>
      <w:r w:rsidR="005A2469">
        <w:rPr>
          <w:rFonts w:ascii="Verdana" w:hAnsi="Verdana"/>
          <w:lang w:val="fr-CA"/>
        </w:rPr>
        <w:t>u</w:t>
      </w:r>
      <w:r w:rsidR="004C618E" w:rsidRPr="00A925B1">
        <w:rPr>
          <w:rFonts w:ascii="Verdana" w:hAnsi="Verdana"/>
          <w:lang w:val="fr-CA"/>
        </w:rPr>
        <w:t xml:space="preserve"> </w:t>
      </w:r>
      <w:r w:rsidR="005A2469">
        <w:rPr>
          <w:rFonts w:ascii="Verdana" w:hAnsi="Verdana"/>
          <w:lang w:val="fr-CA"/>
        </w:rPr>
        <w:t>les violations des droits de la personne</w:t>
      </w:r>
      <w:r w:rsidR="002D38C8">
        <w:rPr>
          <w:rFonts w:ascii="Verdana" w:hAnsi="Verdana"/>
          <w:lang w:val="fr-CA"/>
        </w:rPr>
        <w:t xml:space="preserve"> liées à la cécité); </w:t>
      </w:r>
    </w:p>
    <w:p w14:paraId="4266EE7F" w14:textId="23612C1D" w:rsidR="00627A5C" w:rsidRPr="00BC4835" w:rsidRDefault="00BC4835" w:rsidP="00627A5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rStyle w:val="normaltextrun"/>
          <w:rFonts w:ascii="Verdana" w:hAnsi="Verdana"/>
          <w:lang w:val="fr-CA"/>
        </w:rPr>
      </w:pPr>
      <w:r w:rsidRPr="00BC4835">
        <w:rPr>
          <w:rStyle w:val="normaltextrun"/>
          <w:rFonts w:ascii="Verdana" w:eastAsiaTheme="majorEastAsia" w:hAnsi="Verdana" w:cs="Arial"/>
          <w:color w:val="000000"/>
          <w:lang w:val="fr-CA"/>
        </w:rPr>
        <w:t>Avoir un impact sur des qu</w:t>
      </w:r>
      <w:r>
        <w:rPr>
          <w:rStyle w:val="normaltextrun"/>
          <w:rFonts w:ascii="Verdana" w:eastAsiaTheme="majorEastAsia" w:hAnsi="Verdana" w:cs="Arial"/>
          <w:color w:val="000000"/>
          <w:lang w:val="fr-CA"/>
        </w:rPr>
        <w:t xml:space="preserve">estions qui dépassent les intérêts personnels du </w:t>
      </w:r>
      <w:r w:rsidR="00481302">
        <w:rPr>
          <w:rStyle w:val="normaltextrun"/>
          <w:rFonts w:ascii="Verdana" w:eastAsiaTheme="majorEastAsia" w:hAnsi="Verdana" w:cs="Arial"/>
          <w:color w:val="000000"/>
          <w:lang w:val="fr-CA"/>
        </w:rPr>
        <w:t>requérant</w:t>
      </w:r>
      <w:r w:rsidR="0059679D">
        <w:rPr>
          <w:rStyle w:val="normaltextrun"/>
          <w:rFonts w:ascii="Verdana" w:eastAsiaTheme="majorEastAsia" w:hAnsi="Verdana" w:cs="Arial"/>
          <w:color w:val="000000"/>
          <w:lang w:val="fr-CA"/>
        </w:rPr>
        <w:t>;</w:t>
      </w:r>
      <w:r w:rsidR="00197D14" w:rsidRPr="00BC4835">
        <w:rPr>
          <w:rStyle w:val="normaltextrun"/>
          <w:rFonts w:ascii="Verdana" w:eastAsiaTheme="majorEastAsia" w:hAnsi="Verdana" w:cs="Arial"/>
          <w:lang w:val="fr-CA"/>
        </w:rPr>
        <w:t xml:space="preserve"> </w:t>
      </w:r>
      <w:r w:rsidR="0059679D">
        <w:rPr>
          <w:rStyle w:val="normaltextrun"/>
          <w:rFonts w:ascii="Verdana" w:eastAsiaTheme="majorEastAsia" w:hAnsi="Verdana" w:cs="Arial"/>
          <w:color w:val="000000"/>
          <w:lang w:val="fr-CA"/>
        </w:rPr>
        <w:t>et</w:t>
      </w:r>
      <w:r w:rsidR="00197D14" w:rsidRPr="00BC4835">
        <w:rPr>
          <w:rStyle w:val="normaltextrun"/>
          <w:rFonts w:ascii="Verdana" w:eastAsiaTheme="majorEastAsia" w:hAnsi="Verdana" w:cs="Arial"/>
          <w:color w:val="000000"/>
          <w:lang w:val="fr-CA"/>
        </w:rPr>
        <w:t xml:space="preserve"> </w:t>
      </w:r>
    </w:p>
    <w:p w14:paraId="3A378CE1" w14:textId="160E14FA" w:rsidR="00197D14" w:rsidRPr="0059679D" w:rsidRDefault="0059679D" w:rsidP="00627A5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Verdana" w:hAnsi="Verdana"/>
          <w:lang w:val="fr-CA"/>
        </w:rPr>
      </w:pPr>
      <w:r w:rsidRPr="0059679D">
        <w:rPr>
          <w:rStyle w:val="normaltextrun"/>
          <w:rFonts w:ascii="Verdana" w:eastAsiaTheme="majorEastAsia" w:hAnsi="Verdana" w:cs="Arial"/>
          <w:color w:val="000000"/>
          <w:lang w:val="fr-CA"/>
        </w:rPr>
        <w:t>Il est peu probable que le projet pu</w:t>
      </w:r>
      <w:r>
        <w:rPr>
          <w:rStyle w:val="normaltextrun"/>
          <w:rFonts w:ascii="Verdana" w:eastAsiaTheme="majorEastAsia" w:hAnsi="Verdana" w:cs="Arial"/>
          <w:color w:val="000000"/>
          <w:lang w:val="fr-CA"/>
        </w:rPr>
        <w:t>isse être mené à bien sans le soutien d’INCA.</w:t>
      </w:r>
      <w:r w:rsidR="00197D14" w:rsidRPr="0059679D">
        <w:rPr>
          <w:rStyle w:val="normaltextrun"/>
          <w:rFonts w:ascii="Verdana" w:eastAsiaTheme="majorEastAsia" w:hAnsi="Verdana" w:cs="Arial"/>
          <w:color w:val="000000"/>
          <w:lang w:val="fr-CA"/>
        </w:rPr>
        <w:t xml:space="preserve"> </w:t>
      </w:r>
    </w:p>
    <w:p w14:paraId="43FBFA62" w14:textId="23F501F5" w:rsidR="00B707BD" w:rsidRPr="00E01B58" w:rsidRDefault="00B707BD" w:rsidP="00CD3065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lang w:val="fr-CA"/>
        </w:rPr>
      </w:pPr>
      <w:r w:rsidRPr="00CD3065">
        <w:rPr>
          <w:rStyle w:val="eop"/>
          <w:rFonts w:ascii="Verdana" w:hAnsi="Verdana"/>
          <w:color w:val="000000"/>
          <w:lang w:val="fr-CA"/>
        </w:rPr>
        <w:t xml:space="preserve">À noter : </w:t>
      </w:r>
      <w:r w:rsidR="00CD3065">
        <w:rPr>
          <w:rStyle w:val="eop"/>
          <w:rFonts w:ascii="Verdana" w:hAnsi="Verdana"/>
          <w:color w:val="000000"/>
          <w:lang w:val="fr-CA"/>
        </w:rPr>
        <w:t>M</w:t>
      </w:r>
      <w:r w:rsidR="00CD3065" w:rsidRPr="00CD3065">
        <w:rPr>
          <w:rStyle w:val="eop"/>
          <w:rFonts w:ascii="Verdana" w:hAnsi="Verdana"/>
          <w:color w:val="000000"/>
          <w:lang w:val="fr-CA"/>
        </w:rPr>
        <w:t xml:space="preserve">ême si votre dossier s'aligne sur les considérations et répond aux objectifs susmentionnés, chaque dossier fera l'objet d'un processus d'examen minutieux et le financement </w:t>
      </w:r>
      <w:r w:rsidR="00CD3065">
        <w:rPr>
          <w:rStyle w:val="eop"/>
          <w:rFonts w:ascii="Verdana" w:hAnsi="Verdana"/>
          <w:color w:val="000000"/>
          <w:lang w:val="fr-CA"/>
        </w:rPr>
        <w:t xml:space="preserve">des litiges </w:t>
      </w:r>
      <w:r w:rsidR="00CD3065" w:rsidRPr="00CD3065">
        <w:rPr>
          <w:rStyle w:val="eop"/>
          <w:rFonts w:ascii="Verdana" w:hAnsi="Verdana"/>
          <w:color w:val="000000"/>
          <w:lang w:val="fr-CA"/>
        </w:rPr>
        <w:t>n'est pas garanti.</w:t>
      </w:r>
      <w:r w:rsidR="00CD3065">
        <w:rPr>
          <w:rStyle w:val="eop"/>
          <w:rFonts w:ascii="Verdana" w:hAnsi="Verdana"/>
          <w:color w:val="000000"/>
          <w:lang w:val="fr-CA"/>
        </w:rPr>
        <w:t xml:space="preserve"> </w:t>
      </w:r>
    </w:p>
    <w:p w14:paraId="68F431D9" w14:textId="77777777" w:rsidR="00B707BD" w:rsidRPr="00B707BD" w:rsidRDefault="00B707BD" w:rsidP="00CD22E9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Verdana" w:hAnsi="Verdana"/>
          <w:color w:val="000000"/>
          <w:lang w:val="fr-CA"/>
        </w:rPr>
      </w:pPr>
    </w:p>
    <w:p w14:paraId="769F8A17" w14:textId="77777777" w:rsidR="00B707BD" w:rsidRPr="00B707BD" w:rsidRDefault="00B707BD" w:rsidP="00CD22E9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Verdana" w:hAnsi="Verdana"/>
          <w:color w:val="000000"/>
          <w:lang w:val="fr-CA"/>
        </w:rPr>
      </w:pPr>
    </w:p>
    <w:p w14:paraId="31A1436C" w14:textId="7B29333C" w:rsidR="00CD22E9" w:rsidRPr="00B707BD" w:rsidRDefault="00B707BD" w:rsidP="00CD22E9">
      <w:pPr>
        <w:pStyle w:val="paragraph"/>
        <w:shd w:val="clear" w:color="auto" w:fill="FFFFFF"/>
        <w:spacing w:before="0" w:beforeAutospacing="0" w:after="240" w:afterAutospacing="0" w:line="360" w:lineRule="auto"/>
        <w:textAlignment w:val="baseline"/>
        <w:rPr>
          <w:rStyle w:val="eop"/>
          <w:rFonts w:ascii="Verdana" w:hAnsi="Verdana"/>
          <w:color w:val="000000"/>
          <w:lang w:val="fr-CA"/>
        </w:rPr>
      </w:pPr>
      <w:r w:rsidRPr="00B707BD">
        <w:rPr>
          <w:rStyle w:val="eop"/>
          <w:rFonts w:ascii="Verdana" w:hAnsi="Verdana"/>
          <w:color w:val="000000"/>
          <w:lang w:val="fr-CA"/>
        </w:rPr>
        <w:t xml:space="preserve">  </w:t>
      </w:r>
    </w:p>
    <w:p w14:paraId="1FBF7B35" w14:textId="312E05B9" w:rsidR="00497835" w:rsidRPr="00416CC8" w:rsidRDefault="00534F8E" w:rsidP="00BC1235">
      <w:pPr>
        <w:pStyle w:val="Heading2"/>
        <w:spacing w:line="360" w:lineRule="auto"/>
        <w:rPr>
          <w:rFonts w:ascii="Verdana" w:hAnsi="Verdana" w:cs="Arial"/>
          <w:sz w:val="32"/>
          <w:szCs w:val="32"/>
        </w:rPr>
      </w:pPr>
      <w:proofErr w:type="spellStart"/>
      <w:r>
        <w:rPr>
          <w:rFonts w:ascii="Verdana" w:hAnsi="Verdana" w:cs="Arial"/>
          <w:sz w:val="32"/>
          <w:szCs w:val="32"/>
        </w:rPr>
        <w:lastRenderedPageBreak/>
        <w:t>Consid</w:t>
      </w:r>
      <w:r w:rsidR="007D7DF2">
        <w:rPr>
          <w:rFonts w:ascii="Verdana" w:hAnsi="Verdana" w:cs="Arial"/>
          <w:sz w:val="32"/>
          <w:szCs w:val="32"/>
        </w:rPr>
        <w:t>é</w:t>
      </w:r>
      <w:r>
        <w:rPr>
          <w:rFonts w:ascii="Verdana" w:hAnsi="Verdana" w:cs="Arial"/>
          <w:sz w:val="32"/>
          <w:szCs w:val="32"/>
        </w:rPr>
        <w:t>rations</w:t>
      </w:r>
      <w:proofErr w:type="spellEnd"/>
    </w:p>
    <w:p w14:paraId="676BA5AB" w14:textId="385A9194" w:rsidR="008C0DDF" w:rsidRPr="00416CC8" w:rsidRDefault="008C0DDF" w:rsidP="00BC1235">
      <w:pPr>
        <w:pStyle w:val="Heading3"/>
        <w:rPr>
          <w:rFonts w:ascii="Verdana" w:hAnsi="Verdana" w:cs="Arial"/>
          <w:sz w:val="28"/>
          <w:szCs w:val="28"/>
        </w:rPr>
      </w:pPr>
      <w:proofErr w:type="spellStart"/>
      <w:r w:rsidRPr="00416CC8">
        <w:rPr>
          <w:rFonts w:ascii="Verdana" w:hAnsi="Verdana" w:cs="Arial"/>
          <w:sz w:val="28"/>
          <w:szCs w:val="28"/>
        </w:rPr>
        <w:t>G</w:t>
      </w:r>
      <w:r w:rsidR="0030355A">
        <w:rPr>
          <w:rFonts w:ascii="Verdana" w:hAnsi="Verdana" w:cs="Arial"/>
          <w:sz w:val="28"/>
          <w:szCs w:val="28"/>
        </w:rPr>
        <w:t>é</w:t>
      </w:r>
      <w:r w:rsidRPr="00416CC8">
        <w:rPr>
          <w:rFonts w:ascii="Verdana" w:hAnsi="Verdana" w:cs="Arial"/>
          <w:sz w:val="28"/>
          <w:szCs w:val="28"/>
        </w:rPr>
        <w:t>n</w:t>
      </w:r>
      <w:r w:rsidR="0030355A">
        <w:rPr>
          <w:rFonts w:ascii="Verdana" w:hAnsi="Verdana" w:cs="Arial"/>
          <w:sz w:val="28"/>
          <w:szCs w:val="28"/>
        </w:rPr>
        <w:t>é</w:t>
      </w:r>
      <w:r w:rsidRPr="00416CC8">
        <w:rPr>
          <w:rFonts w:ascii="Verdana" w:hAnsi="Verdana" w:cs="Arial"/>
          <w:sz w:val="28"/>
          <w:szCs w:val="28"/>
        </w:rPr>
        <w:t>ral</w:t>
      </w:r>
      <w:r w:rsidR="0030355A">
        <w:rPr>
          <w:rFonts w:ascii="Verdana" w:hAnsi="Verdana" w:cs="Arial"/>
          <w:sz w:val="28"/>
          <w:szCs w:val="28"/>
        </w:rPr>
        <w:t>ités</w:t>
      </w:r>
      <w:proofErr w:type="spellEnd"/>
      <w:r w:rsidRPr="00416CC8">
        <w:rPr>
          <w:rFonts w:ascii="Verdana" w:hAnsi="Verdana" w:cs="Arial"/>
          <w:sz w:val="28"/>
          <w:szCs w:val="28"/>
        </w:rPr>
        <w:t xml:space="preserve"> </w:t>
      </w:r>
    </w:p>
    <w:p w14:paraId="42AB3C7F" w14:textId="02B1D636" w:rsidR="000C5077" w:rsidRPr="003C5D41" w:rsidRDefault="003C5D41" w:rsidP="00BC1235">
      <w:pPr>
        <w:pStyle w:val="Question"/>
        <w:spacing w:line="360" w:lineRule="auto"/>
        <w:rPr>
          <w:rFonts w:cs="Arial"/>
          <w:lang w:val="fr-CA"/>
        </w:rPr>
      </w:pPr>
      <w:r w:rsidRPr="003C5D41">
        <w:rPr>
          <w:rFonts w:cs="Arial"/>
          <w:lang w:val="fr-CA"/>
        </w:rPr>
        <w:t xml:space="preserve">Le </w:t>
      </w:r>
      <w:r w:rsidR="0010001E">
        <w:rPr>
          <w:rFonts w:cs="Arial"/>
          <w:lang w:val="fr-CA"/>
        </w:rPr>
        <w:t>requérant</w:t>
      </w:r>
      <w:r w:rsidRPr="003C5D41">
        <w:rPr>
          <w:rFonts w:cs="Arial"/>
          <w:lang w:val="fr-CA"/>
        </w:rPr>
        <w:t xml:space="preserve"> est-il aveugle ou sourd</w:t>
      </w:r>
      <w:r w:rsidR="00F357C9">
        <w:rPr>
          <w:rFonts w:cs="Arial"/>
          <w:lang w:val="fr-CA"/>
        </w:rPr>
        <w:t>-</w:t>
      </w:r>
      <w:r w:rsidRPr="003C5D41">
        <w:rPr>
          <w:rFonts w:cs="Arial"/>
          <w:lang w:val="fr-CA"/>
        </w:rPr>
        <w:t xml:space="preserve">aveugle </w:t>
      </w:r>
      <w:r w:rsidR="00F357C9">
        <w:rPr>
          <w:rFonts w:cs="Arial"/>
          <w:lang w:val="fr-CA"/>
        </w:rPr>
        <w:t>ou a une vision basse</w:t>
      </w:r>
      <w:r w:rsidRPr="003C5D41">
        <w:rPr>
          <w:rFonts w:cs="Arial"/>
          <w:lang w:val="fr-CA"/>
        </w:rPr>
        <w:t>?</w:t>
      </w:r>
      <w:r w:rsidR="00F357C9">
        <w:rPr>
          <w:rFonts w:cs="Arial"/>
          <w:lang w:val="fr-CA"/>
        </w:rPr>
        <w:t xml:space="preserve"> </w:t>
      </w:r>
    </w:p>
    <w:p w14:paraId="25C80640" w14:textId="65AD5EFB" w:rsidR="008C0DDF" w:rsidRPr="006E172C" w:rsidRDefault="006E172C" w:rsidP="00BC1235">
      <w:pPr>
        <w:pStyle w:val="ListParagraph"/>
        <w:numPr>
          <w:ilvl w:val="0"/>
          <w:numId w:val="11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6E172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La question concerne-t-elle une inégalité ou une violation des droits de la personne qui est au moins partiellement liée à la perte de vision ou à la </w:t>
      </w:r>
      <w:proofErr w:type="spellStart"/>
      <w:r w:rsidRPr="006E172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surdicécité</w:t>
      </w:r>
      <w:proofErr w:type="spellEnd"/>
      <w:r w:rsidR="00572625" w:rsidRPr="006E172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?  </w:t>
      </w:r>
    </w:p>
    <w:p w14:paraId="0740E187" w14:textId="2D1D0B94" w:rsidR="00D70A37" w:rsidRPr="000B07CA" w:rsidRDefault="000B07CA" w:rsidP="007F2F10">
      <w:pPr>
        <w:pStyle w:val="Heading3"/>
        <w:rPr>
          <w:rFonts w:ascii="Verdana" w:hAnsi="Verdana" w:cs="Arial"/>
          <w:sz w:val="28"/>
          <w:szCs w:val="28"/>
          <w:lang w:val="fr-CA"/>
        </w:rPr>
      </w:pPr>
      <w:r w:rsidRPr="000B07CA">
        <w:rPr>
          <w:rFonts w:ascii="Verdana" w:hAnsi="Verdana" w:cs="Arial"/>
          <w:sz w:val="28"/>
          <w:szCs w:val="28"/>
          <w:lang w:val="fr-CA"/>
        </w:rPr>
        <w:t>Impact sur la communauté</w:t>
      </w:r>
    </w:p>
    <w:p w14:paraId="5EDE376D" w14:textId="594B287F" w:rsidR="00CC500B" w:rsidRPr="002309DD" w:rsidRDefault="002309DD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2309DD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S'agit-il d'un</w:t>
      </w:r>
      <w:r w:rsidR="00294977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e affaire </w:t>
      </w:r>
      <w:r w:rsidRPr="002309DD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qui dépasse les intérêts personnels de l'intéressé?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2EA03AF7" w14:textId="06590634" w:rsidR="00861082" w:rsidRPr="00466410" w:rsidRDefault="00294977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L’affaire</w:t>
      </w:r>
      <w:r w:rsidR="00466410" w:rsidRPr="00466410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soulève-t-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elle</w:t>
      </w:r>
      <w:r w:rsidR="00466410" w:rsidRPr="00466410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une nouvelle question qui n'a pas été débattue auparavant</w:t>
      </w:r>
      <w:r w:rsidR="00861082" w:rsidRPr="00466410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?</w:t>
      </w:r>
    </w:p>
    <w:p w14:paraId="4DE26718" w14:textId="3F49BCF1" w:rsidR="00D70A37" w:rsidRPr="004A6B8C" w:rsidRDefault="00294977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L’affaire</w:t>
      </w:r>
      <w:r w:rsidR="004A6B8C" w:rsidRPr="004A6B8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résoudra-t-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elle</w:t>
      </w:r>
      <w:r w:rsidR="004A6B8C" w:rsidRPr="004A6B8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un certain nombre d</w:t>
      </w:r>
      <w:r w:rsidR="00184AAD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 cas</w:t>
      </w:r>
      <w:r w:rsidR="004A6B8C" w:rsidRPr="004A6B8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existants ou potentiels qui soulèvent les mêmes questions? </w:t>
      </w:r>
    </w:p>
    <w:p w14:paraId="11DE8F17" w14:textId="07885A51" w:rsidR="00C278FC" w:rsidRPr="003249D3" w:rsidRDefault="003249D3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3249D3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En cas de succès, l'affaire renforcera-t-elle les droits des personnes ayant une perte de vision ou qui sont sourdes-aveugles?</w:t>
      </w:r>
      <w:r w:rsidR="00496C19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71B25461" w14:textId="47D12708" w:rsidR="008C0DDF" w:rsidRPr="00C9646B" w:rsidRDefault="00C9646B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C9646B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En cas de succès, l'affaire constituera-t-elle un précédent?</w:t>
      </w:r>
      <w:r w:rsidR="00624255" w:rsidRPr="00C9646B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22A4E36D" w14:textId="74978B66" w:rsidR="008C0DDF" w:rsidRPr="00416CC8" w:rsidRDefault="00F37751" w:rsidP="00BC1235">
      <w:pPr>
        <w:pStyle w:val="Heading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Le </w:t>
      </w:r>
      <w:r w:rsidR="00481302">
        <w:rPr>
          <w:rFonts w:ascii="Verdana" w:hAnsi="Verdana" w:cs="Arial"/>
          <w:sz w:val="28"/>
          <w:szCs w:val="28"/>
        </w:rPr>
        <w:t>bien-</w:t>
      </w:r>
      <w:proofErr w:type="spellStart"/>
      <w:r w:rsidR="00481302">
        <w:rPr>
          <w:rFonts w:ascii="Verdana" w:hAnsi="Verdana" w:cs="Arial"/>
          <w:sz w:val="28"/>
          <w:szCs w:val="28"/>
        </w:rPr>
        <w:t>fondé</w:t>
      </w:r>
      <w:proofErr w:type="spellEnd"/>
    </w:p>
    <w:p w14:paraId="082BC3CD" w14:textId="140139D0" w:rsidR="007C2E24" w:rsidRPr="00426486" w:rsidRDefault="0010001E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L’affaire</w:t>
      </w:r>
      <w:r w:rsidR="00F37751" w:rsidRPr="00F37751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est-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elle</w:t>
      </w:r>
      <w:r w:rsidR="00F37751" w:rsidRPr="00F37751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susceptible </w:t>
      </w:r>
      <w:r w:rsidR="00572B31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d’obtenir 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une issue favorable</w:t>
      </w:r>
      <w:r w:rsidR="00F37751" w:rsidRPr="00F37751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? Pour déterminer la réponse à cette question, les questions supplémentaires suivantes seront prises en considération :</w:t>
      </w:r>
      <w:r w:rsidR="00964507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6BA1C1A0" w14:textId="680CD086" w:rsidR="007C2E24" w:rsidRPr="00A84180" w:rsidRDefault="00A84180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A84180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Les faits sont-ils clairs et précis?</w:t>
      </w:r>
    </w:p>
    <w:p w14:paraId="5A7BA3C8" w14:textId="370ED32A" w:rsidR="00147DCC" w:rsidRPr="00481302" w:rsidRDefault="00481302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481302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lastRenderedPageBreak/>
        <w:t>Le requérant a-t-il fait part de ses préoccupations/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ses </w:t>
      </w:r>
      <w:r w:rsidRPr="00481302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besoins à la partie susceptible de répondre (par exemple, demande de logement)?</w:t>
      </w:r>
      <w:r w:rsidR="00147DCC" w:rsidRPr="00481302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59A6B2B3" w14:textId="6B226D58" w:rsidR="00CB63EC" w:rsidRDefault="00CB63EC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CB63EC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Le requérant a-t-il tenté de résoudre le problème par d'autres moyens (par exemple, une procédure de plainte interne)?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3ED9C1F5" w14:textId="2C9720D1" w:rsidR="007C2E24" w:rsidRPr="009C7282" w:rsidRDefault="009C7282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9C7282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Un avis juridique a-t-il été émis</w:t>
      </w:r>
      <w:r w:rsidR="007C2E24" w:rsidRPr="009C7282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?</w:t>
      </w:r>
    </w:p>
    <w:p w14:paraId="5109938A" w14:textId="0D9FEA49" w:rsidR="00861082" w:rsidRPr="00391E04" w:rsidRDefault="00391E04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391E04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Les arguments juridiques proposés sont-ils pleinement développés?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341C0D1F" w14:textId="4F78099F" w:rsidR="003567C4" w:rsidRPr="000C6F10" w:rsidRDefault="000C6F10" w:rsidP="00BC1235">
      <w:pPr>
        <w:numPr>
          <w:ilvl w:val="1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0C6F10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Si le requérant est représenté par un conseil juridique, les compétences, l'expérience et les ressources de l'avocat sont-elles adéquates?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607A679D" w14:textId="696608D1" w:rsidR="008C0DDF" w:rsidRPr="00416CC8" w:rsidRDefault="008C0DDF" w:rsidP="00BC1235">
      <w:pPr>
        <w:pStyle w:val="Heading3"/>
        <w:rPr>
          <w:rFonts w:ascii="Verdana" w:hAnsi="Verdana" w:cs="Arial"/>
          <w:sz w:val="28"/>
          <w:szCs w:val="28"/>
        </w:rPr>
      </w:pPr>
      <w:proofErr w:type="spellStart"/>
      <w:r w:rsidRPr="00416CC8">
        <w:rPr>
          <w:rFonts w:ascii="Verdana" w:hAnsi="Verdana" w:cs="Arial"/>
          <w:sz w:val="28"/>
          <w:szCs w:val="28"/>
        </w:rPr>
        <w:t>A</w:t>
      </w:r>
      <w:r w:rsidR="0093624D">
        <w:rPr>
          <w:rFonts w:ascii="Verdana" w:hAnsi="Verdana" w:cs="Arial"/>
          <w:sz w:val="28"/>
          <w:szCs w:val="28"/>
        </w:rPr>
        <w:t>utres</w:t>
      </w:r>
      <w:proofErr w:type="spellEnd"/>
      <w:r w:rsidRPr="00416CC8">
        <w:rPr>
          <w:rFonts w:ascii="Verdana" w:hAnsi="Verdana" w:cs="Arial"/>
          <w:sz w:val="28"/>
          <w:szCs w:val="28"/>
        </w:rPr>
        <w:t xml:space="preserve"> </w:t>
      </w:r>
      <w:r w:rsidR="0093624D">
        <w:rPr>
          <w:rFonts w:ascii="Verdana" w:hAnsi="Verdana" w:cs="Arial"/>
          <w:sz w:val="28"/>
          <w:szCs w:val="28"/>
        </w:rPr>
        <w:t>o</w:t>
      </w:r>
      <w:r w:rsidRPr="00416CC8">
        <w:rPr>
          <w:rFonts w:ascii="Verdana" w:hAnsi="Verdana" w:cs="Arial"/>
          <w:sz w:val="28"/>
          <w:szCs w:val="28"/>
        </w:rPr>
        <w:t>ptions</w:t>
      </w:r>
    </w:p>
    <w:p w14:paraId="62F2A3AD" w14:textId="29F28397" w:rsidR="00DB5FEC" w:rsidRPr="001914DA" w:rsidRDefault="00CC500B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1914DA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  <w:r w:rsidR="001914DA" w:rsidRPr="001914DA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La saisie d'un tribunal, d'une commission, d'un arbitre ou d'une cour constitue-t-elle l'utilisation la plus efficace et la plus efficiente des ressources?</w:t>
      </w:r>
      <w:r w:rsidR="001914DA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7FD4F069" w14:textId="66E25FBF" w:rsidR="00E16912" w:rsidRPr="004D1117" w:rsidRDefault="004D1117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4D1117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Existe-t-il d'autres options que la procédure judiciaire?</w:t>
      </w:r>
    </w:p>
    <w:p w14:paraId="7AB6F141" w14:textId="48AAD8C5" w:rsidR="00BC1235" w:rsidRPr="00416CC8" w:rsidRDefault="00BC1235" w:rsidP="00BC1235">
      <w:pPr>
        <w:pStyle w:val="Heading3"/>
        <w:rPr>
          <w:rFonts w:ascii="Verdana" w:hAnsi="Verdana" w:cs="Arial"/>
          <w:sz w:val="28"/>
          <w:szCs w:val="28"/>
        </w:rPr>
      </w:pPr>
      <w:proofErr w:type="spellStart"/>
      <w:r w:rsidRPr="00416CC8">
        <w:rPr>
          <w:rFonts w:ascii="Verdana" w:hAnsi="Verdana" w:cs="Arial"/>
          <w:sz w:val="28"/>
          <w:szCs w:val="28"/>
        </w:rPr>
        <w:t>Consid</w:t>
      </w:r>
      <w:r w:rsidR="00744ECC">
        <w:rPr>
          <w:rFonts w:ascii="Verdana" w:hAnsi="Verdana" w:cs="Arial"/>
          <w:sz w:val="28"/>
          <w:szCs w:val="28"/>
        </w:rPr>
        <w:t>é</w:t>
      </w:r>
      <w:r w:rsidRPr="00416CC8">
        <w:rPr>
          <w:rFonts w:ascii="Verdana" w:hAnsi="Verdana" w:cs="Arial"/>
          <w:sz w:val="28"/>
          <w:szCs w:val="28"/>
        </w:rPr>
        <w:t>rations</w:t>
      </w:r>
      <w:proofErr w:type="spellEnd"/>
      <w:r w:rsidR="00744ECC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744ECC">
        <w:rPr>
          <w:rFonts w:ascii="Verdana" w:hAnsi="Verdana" w:cs="Arial"/>
          <w:sz w:val="28"/>
          <w:szCs w:val="28"/>
        </w:rPr>
        <w:t>financières</w:t>
      </w:r>
      <w:proofErr w:type="spellEnd"/>
    </w:p>
    <w:p w14:paraId="57523636" w14:textId="6489286F" w:rsidR="00BC1235" w:rsidRPr="00426486" w:rsidRDefault="00287653" w:rsidP="00BC1235">
      <w:pPr>
        <w:pStyle w:val="ListParagraph"/>
        <w:numPr>
          <w:ilvl w:val="0"/>
          <w:numId w:val="11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287653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Le requérant a-t-il sollicité une aide financière ou une représentation juridique auprès d'autres organisations? Dans l'affirmative, quelle a été l'issue de la demande et quelles en ont été les raisons?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4084D1EC" w14:textId="09A4C23F" w:rsidR="00BC1235" w:rsidRPr="00426486" w:rsidRDefault="005E4984" w:rsidP="00416CC8">
      <w:pPr>
        <w:pStyle w:val="Question"/>
        <w:spacing w:line="360" w:lineRule="auto"/>
        <w:rPr>
          <w:rFonts w:cs="Arial"/>
          <w:lang w:val="fr-CA"/>
        </w:rPr>
      </w:pPr>
      <w:r w:rsidRPr="005E4984">
        <w:rPr>
          <w:rFonts w:cs="Arial"/>
          <w:lang w:val="fr-CA"/>
        </w:rPr>
        <w:lastRenderedPageBreak/>
        <w:t xml:space="preserve">Des contributions </w:t>
      </w:r>
      <w:r w:rsidRPr="005E4984">
        <w:rPr>
          <w:rFonts w:cs="Arial"/>
          <w:i/>
          <w:iCs/>
          <w:lang w:val="fr-CA"/>
        </w:rPr>
        <w:t xml:space="preserve">pro </w:t>
      </w:r>
      <w:proofErr w:type="spellStart"/>
      <w:r w:rsidRPr="005E4984">
        <w:rPr>
          <w:rFonts w:cs="Arial"/>
          <w:i/>
          <w:iCs/>
          <w:lang w:val="fr-CA"/>
        </w:rPr>
        <w:t>bono</w:t>
      </w:r>
      <w:proofErr w:type="spellEnd"/>
      <w:r w:rsidRPr="005E4984">
        <w:rPr>
          <w:rFonts w:cs="Arial"/>
          <w:lang w:val="fr-CA"/>
        </w:rPr>
        <w:t xml:space="preserve"> ont-elles été obtenues? Existe-t-il d'autres sources de financement ou de soutien susceptibles d'être obtenues auprès d'autres organisations?</w:t>
      </w:r>
      <w:r w:rsidR="00A867ED">
        <w:rPr>
          <w:rFonts w:cs="Arial"/>
          <w:lang w:val="fr-CA"/>
        </w:rPr>
        <w:t xml:space="preserve"> </w:t>
      </w:r>
    </w:p>
    <w:p w14:paraId="2FFCFCFC" w14:textId="77777777" w:rsidR="00A867ED" w:rsidRPr="00426486" w:rsidRDefault="00A867ED" w:rsidP="00A867ED">
      <w:pPr>
        <w:pStyle w:val="Question"/>
        <w:numPr>
          <w:ilvl w:val="0"/>
          <w:numId w:val="0"/>
        </w:numPr>
        <w:spacing w:line="360" w:lineRule="auto"/>
        <w:ind w:left="720"/>
        <w:rPr>
          <w:rFonts w:cs="Arial"/>
          <w:lang w:val="fr-CA"/>
        </w:rPr>
      </w:pPr>
    </w:p>
    <w:p w14:paraId="5CD88D70" w14:textId="7B3EE1C5" w:rsidR="00BC1235" w:rsidRPr="00426486" w:rsidRDefault="004B49A0" w:rsidP="00BC1235">
      <w:pPr>
        <w:pStyle w:val="Question"/>
        <w:spacing w:line="360" w:lineRule="auto"/>
        <w:rPr>
          <w:rFonts w:cs="Arial"/>
          <w:lang w:val="fr-CA"/>
        </w:rPr>
      </w:pPr>
      <w:r w:rsidRPr="00426486">
        <w:rPr>
          <w:rFonts w:cs="Arial"/>
          <w:lang w:val="fr-CA"/>
        </w:rPr>
        <w:t xml:space="preserve">Le budget estimé est-il raisonnable pour ce type de procédure? </w:t>
      </w:r>
    </w:p>
    <w:p w14:paraId="321DA210" w14:textId="77777777" w:rsidR="00526922" w:rsidRPr="00426486" w:rsidRDefault="00526922" w:rsidP="00526922">
      <w:pPr>
        <w:pStyle w:val="Question"/>
        <w:numPr>
          <w:ilvl w:val="0"/>
          <w:numId w:val="0"/>
        </w:numPr>
        <w:spacing w:line="360" w:lineRule="auto"/>
        <w:ind w:left="720"/>
        <w:rPr>
          <w:rFonts w:cs="Arial"/>
          <w:lang w:val="fr-CA"/>
        </w:rPr>
      </w:pPr>
    </w:p>
    <w:p w14:paraId="497DBDA2" w14:textId="77777777" w:rsidR="00526922" w:rsidRPr="00426486" w:rsidRDefault="00526922" w:rsidP="00526922">
      <w:pPr>
        <w:pStyle w:val="Question"/>
        <w:numPr>
          <w:ilvl w:val="0"/>
          <w:numId w:val="0"/>
        </w:numPr>
        <w:spacing w:line="360" w:lineRule="auto"/>
        <w:ind w:left="720"/>
        <w:rPr>
          <w:rFonts w:cs="Arial"/>
          <w:lang w:val="fr-CA"/>
        </w:rPr>
      </w:pPr>
    </w:p>
    <w:p w14:paraId="0C22DF52" w14:textId="77777777" w:rsidR="004C618E" w:rsidRPr="00426486" w:rsidRDefault="004C618E" w:rsidP="00526922">
      <w:pPr>
        <w:pStyle w:val="Question"/>
        <w:numPr>
          <w:ilvl w:val="0"/>
          <w:numId w:val="0"/>
        </w:numPr>
        <w:spacing w:line="360" w:lineRule="auto"/>
        <w:ind w:left="720"/>
        <w:rPr>
          <w:rFonts w:cs="Arial"/>
          <w:lang w:val="fr-CA"/>
        </w:rPr>
      </w:pPr>
    </w:p>
    <w:p w14:paraId="529FC123" w14:textId="77777777" w:rsidR="004C618E" w:rsidRPr="00426486" w:rsidRDefault="004C618E" w:rsidP="00526922">
      <w:pPr>
        <w:pStyle w:val="Question"/>
        <w:numPr>
          <w:ilvl w:val="0"/>
          <w:numId w:val="0"/>
        </w:numPr>
        <w:spacing w:line="360" w:lineRule="auto"/>
        <w:ind w:left="720"/>
        <w:rPr>
          <w:rFonts w:cs="Arial"/>
          <w:lang w:val="fr-CA"/>
        </w:rPr>
      </w:pPr>
    </w:p>
    <w:p w14:paraId="58D3984C" w14:textId="5A408AB9" w:rsidR="008C0DDF" w:rsidRPr="00416CC8" w:rsidRDefault="005656F8" w:rsidP="00BC1235">
      <w:pPr>
        <w:pStyle w:val="Heading3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</w:rPr>
        <w:t>Autres</w:t>
      </w:r>
      <w:proofErr w:type="spellEnd"/>
      <w:r w:rsidR="008C0DDF" w:rsidRPr="00416CC8"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c</w:t>
      </w:r>
      <w:r w:rsidR="008C0DDF" w:rsidRPr="00416CC8">
        <w:rPr>
          <w:rFonts w:ascii="Verdana" w:hAnsi="Verdana" w:cs="Arial"/>
          <w:sz w:val="28"/>
          <w:szCs w:val="28"/>
        </w:rPr>
        <w:t>onsid</w:t>
      </w:r>
      <w:r>
        <w:rPr>
          <w:rFonts w:ascii="Verdana" w:hAnsi="Verdana" w:cs="Arial"/>
          <w:sz w:val="28"/>
          <w:szCs w:val="28"/>
        </w:rPr>
        <w:t>é</w:t>
      </w:r>
      <w:r w:rsidR="008C0DDF" w:rsidRPr="00416CC8">
        <w:rPr>
          <w:rFonts w:ascii="Verdana" w:hAnsi="Verdana" w:cs="Arial"/>
          <w:sz w:val="28"/>
          <w:szCs w:val="28"/>
        </w:rPr>
        <w:t>rations</w:t>
      </w:r>
      <w:proofErr w:type="spellEnd"/>
    </w:p>
    <w:p w14:paraId="59971042" w14:textId="7A04A5B1" w:rsidR="00D32C6A" w:rsidRPr="009B51D9" w:rsidRDefault="009B51D9" w:rsidP="00BC1235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</w:pPr>
      <w:r w:rsidRPr="009B51D9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L'affaire s'inscrit-elle dans le cadre du plan stratégique d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’</w:t>
      </w:r>
      <w:r w:rsidRPr="009B51D9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INCA, intitulé « </w:t>
      </w:r>
      <w:r w:rsidRPr="009B51D9">
        <w:rPr>
          <w:rFonts w:ascii="Verdana" w:eastAsia="Times New Roman" w:hAnsi="Verdana" w:cs="Arial"/>
          <w:i/>
          <w:iCs/>
          <w:color w:val="000000"/>
          <w:sz w:val="24"/>
          <w:szCs w:val="24"/>
          <w:lang w:val="fr-CA" w:eastAsia="en-CA"/>
        </w:rPr>
        <w:t>La voie à suivre</w:t>
      </w:r>
      <w:r w:rsidRPr="009B51D9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»?</w:t>
      </w:r>
      <w:r w:rsidR="00FC1DEF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 </w:t>
      </w:r>
    </w:p>
    <w:p w14:paraId="37908422" w14:textId="1C684365" w:rsidR="0077500F" w:rsidRPr="005C61A8" w:rsidRDefault="005C61A8" w:rsidP="005C61A8">
      <w:pPr>
        <w:numPr>
          <w:ilvl w:val="0"/>
          <w:numId w:val="2"/>
        </w:numPr>
        <w:shd w:val="clear" w:color="auto" w:fill="FFFFFF"/>
        <w:spacing w:after="360" w:line="360" w:lineRule="auto"/>
        <w:textAlignment w:val="baseline"/>
        <w:rPr>
          <w:rFonts w:ascii="Verdana" w:hAnsi="Verdana" w:cs="Arial"/>
          <w:color w:val="000000"/>
          <w:lang w:val="fr-CA"/>
        </w:rPr>
      </w:pPr>
      <w:r w:rsidRPr="005C61A8"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>L'affaire est-elle traitée dans une province ou un territoire où il existe moins de services juridiques financés par le gouvernement (c'est-à-dire le Nouveau-Brunswick, l'Île-du-Prince-Édouard, le Nunavut, etc.)</w:t>
      </w:r>
      <w:r>
        <w:rPr>
          <w:rFonts w:ascii="Verdana" w:eastAsia="Times New Roman" w:hAnsi="Verdana" w:cs="Arial"/>
          <w:color w:val="000000"/>
          <w:sz w:val="24"/>
          <w:szCs w:val="24"/>
          <w:lang w:val="fr-CA" w:eastAsia="en-CA"/>
        </w:rPr>
        <w:t xml:space="preserve">? </w:t>
      </w:r>
    </w:p>
    <w:sectPr w:rsidR="0077500F" w:rsidRPr="005C61A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4227" w14:textId="77777777" w:rsidR="00D938C1" w:rsidRDefault="00D938C1" w:rsidP="002826F2">
      <w:pPr>
        <w:spacing w:after="0" w:line="240" w:lineRule="auto"/>
      </w:pPr>
      <w:r>
        <w:separator/>
      </w:r>
    </w:p>
  </w:endnote>
  <w:endnote w:type="continuationSeparator" w:id="0">
    <w:p w14:paraId="71906CC3" w14:textId="77777777" w:rsidR="00D938C1" w:rsidRDefault="00D938C1" w:rsidP="002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355189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6B3B42" w14:textId="70A00A9C" w:rsidR="002826F2" w:rsidRPr="002826F2" w:rsidRDefault="002826F2">
            <w:pPr>
              <w:pStyle w:val="Footer"/>
              <w:jc w:val="right"/>
              <w:rPr>
                <w:sz w:val="20"/>
                <w:szCs w:val="20"/>
              </w:rPr>
            </w:pPr>
            <w:r w:rsidRPr="002826F2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2826F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2826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3987">
              <w:rPr>
                <w:rFonts w:ascii="Verdana" w:hAnsi="Verdana"/>
                <w:sz w:val="20"/>
                <w:szCs w:val="20"/>
              </w:rPr>
              <w:t>sur</w:t>
            </w:r>
            <w:r w:rsidRPr="002826F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2826F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2826F2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7070C6" w14:textId="77777777" w:rsidR="002826F2" w:rsidRDefault="0028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B0FE" w14:textId="77777777" w:rsidR="00D938C1" w:rsidRDefault="00D938C1" w:rsidP="002826F2">
      <w:pPr>
        <w:spacing w:after="0" w:line="240" w:lineRule="auto"/>
      </w:pPr>
      <w:r>
        <w:separator/>
      </w:r>
    </w:p>
  </w:footnote>
  <w:footnote w:type="continuationSeparator" w:id="0">
    <w:p w14:paraId="5AEDC419" w14:textId="77777777" w:rsidR="00D938C1" w:rsidRDefault="00D938C1" w:rsidP="0028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03C"/>
    <w:multiLevelType w:val="multilevel"/>
    <w:tmpl w:val="7A0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8668C"/>
    <w:multiLevelType w:val="multilevel"/>
    <w:tmpl w:val="AF1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83879"/>
    <w:multiLevelType w:val="multilevel"/>
    <w:tmpl w:val="8E0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D3404"/>
    <w:multiLevelType w:val="multilevel"/>
    <w:tmpl w:val="674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E1008"/>
    <w:multiLevelType w:val="hybridMultilevel"/>
    <w:tmpl w:val="8B7C8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1ECD"/>
    <w:multiLevelType w:val="multilevel"/>
    <w:tmpl w:val="BC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DF55A7"/>
    <w:multiLevelType w:val="multilevel"/>
    <w:tmpl w:val="4A3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463AF"/>
    <w:multiLevelType w:val="multilevel"/>
    <w:tmpl w:val="1A4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2967C1"/>
    <w:multiLevelType w:val="multilevel"/>
    <w:tmpl w:val="5B6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30401"/>
    <w:multiLevelType w:val="hybridMultilevel"/>
    <w:tmpl w:val="B3A65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E70"/>
    <w:multiLevelType w:val="multilevel"/>
    <w:tmpl w:val="B9B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154186"/>
    <w:multiLevelType w:val="multilevel"/>
    <w:tmpl w:val="DC8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E253C"/>
    <w:multiLevelType w:val="multilevel"/>
    <w:tmpl w:val="32F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B0C62"/>
    <w:multiLevelType w:val="multilevel"/>
    <w:tmpl w:val="9D1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75A1B"/>
    <w:multiLevelType w:val="hybridMultilevel"/>
    <w:tmpl w:val="51E63E66"/>
    <w:lvl w:ilvl="0" w:tplc="4A028264">
      <w:start w:val="1"/>
      <w:numFmt w:val="bullet"/>
      <w:pStyle w:val="Ques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18322">
    <w:abstractNumId w:val="3"/>
  </w:num>
  <w:num w:numId="2" w16cid:durableId="938949272">
    <w:abstractNumId w:val="0"/>
  </w:num>
  <w:num w:numId="3" w16cid:durableId="1269384424">
    <w:abstractNumId w:val="1"/>
  </w:num>
  <w:num w:numId="4" w16cid:durableId="675108302">
    <w:abstractNumId w:val="12"/>
  </w:num>
  <w:num w:numId="5" w16cid:durableId="1125538585">
    <w:abstractNumId w:val="10"/>
  </w:num>
  <w:num w:numId="6" w16cid:durableId="157424756">
    <w:abstractNumId w:val="5"/>
  </w:num>
  <w:num w:numId="7" w16cid:durableId="1665279261">
    <w:abstractNumId w:val="2"/>
  </w:num>
  <w:num w:numId="8" w16cid:durableId="945387409">
    <w:abstractNumId w:val="8"/>
  </w:num>
  <w:num w:numId="9" w16cid:durableId="1333217342">
    <w:abstractNumId w:val="13"/>
  </w:num>
  <w:num w:numId="10" w16cid:durableId="1027096358">
    <w:abstractNumId w:val="7"/>
  </w:num>
  <w:num w:numId="11" w16cid:durableId="1515414857">
    <w:abstractNumId w:val="14"/>
  </w:num>
  <w:num w:numId="12" w16cid:durableId="226038446">
    <w:abstractNumId w:val="9"/>
  </w:num>
  <w:num w:numId="13" w16cid:durableId="1684431412">
    <w:abstractNumId w:val="4"/>
  </w:num>
  <w:num w:numId="14" w16cid:durableId="324818046">
    <w:abstractNumId w:val="6"/>
  </w:num>
  <w:num w:numId="15" w16cid:durableId="1972439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B"/>
    <w:rsid w:val="000272E0"/>
    <w:rsid w:val="00027CEC"/>
    <w:rsid w:val="0008183D"/>
    <w:rsid w:val="000B07CA"/>
    <w:rsid w:val="000C5077"/>
    <w:rsid w:val="000C6F10"/>
    <w:rsid w:val="000D4EED"/>
    <w:rsid w:val="000D6F03"/>
    <w:rsid w:val="000E16DB"/>
    <w:rsid w:val="000F0D9A"/>
    <w:rsid w:val="000F4989"/>
    <w:rsid w:val="0010001E"/>
    <w:rsid w:val="00147DCC"/>
    <w:rsid w:val="00175740"/>
    <w:rsid w:val="00184AAD"/>
    <w:rsid w:val="001914DA"/>
    <w:rsid w:val="00197D14"/>
    <w:rsid w:val="001A62B8"/>
    <w:rsid w:val="001B538C"/>
    <w:rsid w:val="002309DD"/>
    <w:rsid w:val="00250404"/>
    <w:rsid w:val="002826F2"/>
    <w:rsid w:val="00287653"/>
    <w:rsid w:val="00294977"/>
    <w:rsid w:val="002D38C8"/>
    <w:rsid w:val="002D3C48"/>
    <w:rsid w:val="0030355A"/>
    <w:rsid w:val="003249D3"/>
    <w:rsid w:val="003567C4"/>
    <w:rsid w:val="00361AFF"/>
    <w:rsid w:val="00391E04"/>
    <w:rsid w:val="003C42E2"/>
    <w:rsid w:val="003C5D41"/>
    <w:rsid w:val="00416CC8"/>
    <w:rsid w:val="004171A5"/>
    <w:rsid w:val="00426486"/>
    <w:rsid w:val="00466410"/>
    <w:rsid w:val="00473987"/>
    <w:rsid w:val="00481302"/>
    <w:rsid w:val="00496C19"/>
    <w:rsid w:val="00497835"/>
    <w:rsid w:val="004A6B8C"/>
    <w:rsid w:val="004A7F03"/>
    <w:rsid w:val="004B49A0"/>
    <w:rsid w:val="004C4F76"/>
    <w:rsid w:val="004C618E"/>
    <w:rsid w:val="004D1117"/>
    <w:rsid w:val="005041B3"/>
    <w:rsid w:val="00511251"/>
    <w:rsid w:val="00513C80"/>
    <w:rsid w:val="00526922"/>
    <w:rsid w:val="00534F8E"/>
    <w:rsid w:val="005500C1"/>
    <w:rsid w:val="005656F8"/>
    <w:rsid w:val="0057165E"/>
    <w:rsid w:val="00572625"/>
    <w:rsid w:val="00572B31"/>
    <w:rsid w:val="00585B66"/>
    <w:rsid w:val="0059679D"/>
    <w:rsid w:val="005A2469"/>
    <w:rsid w:val="005C61A8"/>
    <w:rsid w:val="005D5F15"/>
    <w:rsid w:val="005E05EA"/>
    <w:rsid w:val="005E4984"/>
    <w:rsid w:val="005F205A"/>
    <w:rsid w:val="00610009"/>
    <w:rsid w:val="00624255"/>
    <w:rsid w:val="00627A5C"/>
    <w:rsid w:val="0066547E"/>
    <w:rsid w:val="006723F2"/>
    <w:rsid w:val="006E172C"/>
    <w:rsid w:val="007007D1"/>
    <w:rsid w:val="0070345F"/>
    <w:rsid w:val="00735E53"/>
    <w:rsid w:val="00744ECC"/>
    <w:rsid w:val="0077500F"/>
    <w:rsid w:val="007869D5"/>
    <w:rsid w:val="007908BF"/>
    <w:rsid w:val="007A3BAF"/>
    <w:rsid w:val="007C2E24"/>
    <w:rsid w:val="007D7DF2"/>
    <w:rsid w:val="007F2F10"/>
    <w:rsid w:val="00803342"/>
    <w:rsid w:val="0083054C"/>
    <w:rsid w:val="008479EF"/>
    <w:rsid w:val="00855116"/>
    <w:rsid w:val="008565C3"/>
    <w:rsid w:val="008569BD"/>
    <w:rsid w:val="00861082"/>
    <w:rsid w:val="0086515B"/>
    <w:rsid w:val="008A45C4"/>
    <w:rsid w:val="008C0DDF"/>
    <w:rsid w:val="00911214"/>
    <w:rsid w:val="0093624D"/>
    <w:rsid w:val="00964507"/>
    <w:rsid w:val="009805A3"/>
    <w:rsid w:val="009B4C20"/>
    <w:rsid w:val="009B51D9"/>
    <w:rsid w:val="009B74EB"/>
    <w:rsid w:val="009C7282"/>
    <w:rsid w:val="009D4C88"/>
    <w:rsid w:val="009D7559"/>
    <w:rsid w:val="00A11A10"/>
    <w:rsid w:val="00A210EE"/>
    <w:rsid w:val="00A46BA5"/>
    <w:rsid w:val="00A55B9A"/>
    <w:rsid w:val="00A711EF"/>
    <w:rsid w:val="00A84180"/>
    <w:rsid w:val="00A867ED"/>
    <w:rsid w:val="00A925B1"/>
    <w:rsid w:val="00A94F63"/>
    <w:rsid w:val="00B50B13"/>
    <w:rsid w:val="00B707BD"/>
    <w:rsid w:val="00BA637F"/>
    <w:rsid w:val="00BC1235"/>
    <w:rsid w:val="00BC4835"/>
    <w:rsid w:val="00BE6694"/>
    <w:rsid w:val="00BF4C8F"/>
    <w:rsid w:val="00C2498D"/>
    <w:rsid w:val="00C278FC"/>
    <w:rsid w:val="00C4083C"/>
    <w:rsid w:val="00C60A31"/>
    <w:rsid w:val="00C63378"/>
    <w:rsid w:val="00C9646B"/>
    <w:rsid w:val="00CB63EC"/>
    <w:rsid w:val="00CC500B"/>
    <w:rsid w:val="00CD22E9"/>
    <w:rsid w:val="00CD3065"/>
    <w:rsid w:val="00CF4E4B"/>
    <w:rsid w:val="00D0715B"/>
    <w:rsid w:val="00D21C03"/>
    <w:rsid w:val="00D32C6A"/>
    <w:rsid w:val="00D70A37"/>
    <w:rsid w:val="00D82B59"/>
    <w:rsid w:val="00D87258"/>
    <w:rsid w:val="00D938C1"/>
    <w:rsid w:val="00D96DBE"/>
    <w:rsid w:val="00DB5FEC"/>
    <w:rsid w:val="00DE5C6B"/>
    <w:rsid w:val="00E16912"/>
    <w:rsid w:val="00E40664"/>
    <w:rsid w:val="00E81577"/>
    <w:rsid w:val="00ED312F"/>
    <w:rsid w:val="00EF64F5"/>
    <w:rsid w:val="00F00F73"/>
    <w:rsid w:val="00F07173"/>
    <w:rsid w:val="00F0755B"/>
    <w:rsid w:val="00F07B5C"/>
    <w:rsid w:val="00F233AF"/>
    <w:rsid w:val="00F357C9"/>
    <w:rsid w:val="00F37751"/>
    <w:rsid w:val="00FA52FE"/>
    <w:rsid w:val="00FC1DEF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37A4"/>
  <w15:chartTrackingRefBased/>
  <w15:docId w15:val="{2B61467E-B5A8-4189-9933-9FD37C3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5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CC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500B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CC50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CC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CC50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500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50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Question">
    <w:name w:val="Question"/>
    <w:basedOn w:val="ListParagraph"/>
    <w:qFormat/>
    <w:rsid w:val="00511251"/>
    <w:pPr>
      <w:numPr>
        <w:numId w:val="11"/>
      </w:numPr>
      <w:shd w:val="clear" w:color="auto" w:fill="FFFFFF"/>
      <w:spacing w:after="360" w:line="240" w:lineRule="auto"/>
      <w:textAlignment w:val="baseline"/>
    </w:pPr>
    <w:rPr>
      <w:rFonts w:ascii="Verdana" w:eastAsia="Times New Roman" w:hAnsi="Verdana" w:cs="Open Sans"/>
      <w:color w:val="00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F2"/>
  </w:style>
  <w:style w:type="paragraph" w:styleId="Footer">
    <w:name w:val="footer"/>
    <w:basedOn w:val="Normal"/>
    <w:link w:val="FooterChar"/>
    <w:uiPriority w:val="99"/>
    <w:unhideWhenUsed/>
    <w:rsid w:val="002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F2"/>
  </w:style>
  <w:style w:type="paragraph" w:customStyle="1" w:styleId="paragraph">
    <w:name w:val="paragraph"/>
    <w:basedOn w:val="Normal"/>
    <w:rsid w:val="0019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197D14"/>
  </w:style>
  <w:style w:type="character" w:customStyle="1" w:styleId="eop">
    <w:name w:val="eop"/>
    <w:basedOn w:val="DefaultParagraphFont"/>
    <w:rsid w:val="00197D14"/>
  </w:style>
  <w:style w:type="character" w:styleId="UnresolvedMention">
    <w:name w:val="Unresolved Mention"/>
    <w:basedOn w:val="DefaultParagraphFont"/>
    <w:uiPriority w:val="99"/>
    <w:semiHidden/>
    <w:unhideWhenUsed/>
    <w:rsid w:val="0052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nib.ca/en/our-commitments?region=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3077</Characters>
  <Application>Microsoft Office Word</Application>
  <DocSecurity>0</DocSecurity>
  <Lines>85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Litigation Funding – Eligibility Criteria</vt:lpstr>
      <vt:lpstr>    Funding Objectives and Priorities</vt:lpstr>
      <vt:lpstr>    Eligibility Criteria</vt:lpstr>
      <vt:lpstr>        General </vt:lpstr>
      <vt:lpstr>        Community Impact</vt:lpstr>
      <vt:lpstr>        Merit</vt:lpstr>
      <vt:lpstr>        Alternative Options</vt:lpstr>
      <vt:lpstr>        Financial Considerations</vt:lpstr>
      <vt:lpstr>        Other Considerations</vt:lpstr>
      <vt:lpstr>    Apply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Kinch</dc:creator>
  <cp:keywords/>
  <dc:description/>
  <cp:lastModifiedBy>Shannon Kinch</cp:lastModifiedBy>
  <cp:revision>2</cp:revision>
  <dcterms:created xsi:type="dcterms:W3CDTF">2025-01-23T15:50:00Z</dcterms:created>
  <dcterms:modified xsi:type="dcterms:W3CDTF">2025-01-23T15:50:00Z</dcterms:modified>
</cp:coreProperties>
</file>